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7150" w14:textId="4091E52C" w:rsidR="00873A09" w:rsidRPr="007856FA" w:rsidRDefault="00E271A7" w:rsidP="00ED5F51">
      <w:pPr>
        <w:spacing w:line="480" w:lineRule="auto"/>
        <w:jc w:val="center"/>
      </w:pPr>
      <w:r w:rsidRPr="007856FA">
        <w:t>Essay as Ars Poetica and Writerly Autobiography</w:t>
      </w:r>
    </w:p>
    <w:p w14:paraId="26567154" w14:textId="77777777" w:rsidR="00873A09" w:rsidRPr="007856FA" w:rsidRDefault="006C2D6D" w:rsidP="00ED5F51">
      <w:pPr>
        <w:spacing w:line="480" w:lineRule="auto"/>
        <w:ind w:firstLine="720"/>
      </w:pPr>
      <w:r w:rsidRPr="007856FA">
        <w:t xml:space="preserve">As genres, argumentative essays and lyric poems share presence and self-reflexivity as common qualities. Following Jonathan Culler’s comments in </w:t>
      </w:r>
      <w:r w:rsidRPr="007856FA">
        <w:rPr>
          <w:i/>
        </w:rPr>
        <w:t xml:space="preserve">Theory of the </w:t>
      </w:r>
      <w:proofErr w:type="gramStart"/>
      <w:r w:rsidRPr="007856FA">
        <w:rPr>
          <w:i/>
        </w:rPr>
        <w:t xml:space="preserve">Lyric </w:t>
      </w:r>
      <w:r w:rsidRPr="007856FA">
        <w:t>on lyric</w:t>
      </w:r>
      <w:proofErr w:type="gramEnd"/>
      <w:r w:rsidRPr="007856FA">
        <w:t xml:space="preserve"> poetry’s ritualistic elements, which are apparent when a poem claims to make something happen or make something present, I notice the way that written essays are also events in the present-tense that rely on voice and ritualistic patterning. Much like lyric speakers are often versions of the poet, writers position themselves within the structure of the essay’s argument, building relevant relationships into the writer’s larger life. To the degree that composing an essay is also composing a piece of writerly autobiography—in the sense that every source </w:t>
      </w:r>
      <w:proofErr w:type="gramStart"/>
      <w:r w:rsidRPr="007856FA">
        <w:t>selected</w:t>
      </w:r>
      <w:proofErr w:type="gramEnd"/>
      <w:r w:rsidRPr="007856FA">
        <w:t xml:space="preserve"> and word arranged is an act of personality and positionality—an essay is a performance of making the self through argument and making the argument through the self. </w:t>
      </w:r>
    </w:p>
    <w:p w14:paraId="26567156" w14:textId="0C3999FA" w:rsidR="00873A09" w:rsidRPr="007856FA" w:rsidRDefault="006C2D6D" w:rsidP="00ED5F51">
      <w:pPr>
        <w:spacing w:line="480" w:lineRule="auto"/>
        <w:ind w:firstLine="720"/>
      </w:pPr>
      <w:r w:rsidRPr="007856FA">
        <w:t>Poetic technique can elicit engagement with and insight about the involvement of the self in the essay, a key concern for scholars and students alike.</w:t>
      </w:r>
      <w:r w:rsidR="00284183" w:rsidRPr="007856FA">
        <w:t xml:space="preserve"> The self-reflexivity involved in building a writerly autobiographical position within and through argument mirrors the </w:t>
      </w:r>
      <w:proofErr w:type="spellStart"/>
      <w:r w:rsidR="00284183" w:rsidRPr="007856FA">
        <w:t>ars</w:t>
      </w:r>
      <w:proofErr w:type="spellEnd"/>
      <w:r w:rsidR="00284183" w:rsidRPr="007856FA">
        <w:t xml:space="preserve"> poetica, the poem that is about its own creation. </w:t>
      </w:r>
      <w:r w:rsidR="00E271A7" w:rsidRPr="007856FA">
        <w:t>To think of p</w:t>
      </w:r>
      <w:r w:rsidRPr="007856FA">
        <w:t xml:space="preserve">oetic methods for </w:t>
      </w:r>
      <w:r w:rsidR="00104350" w:rsidRPr="007856FA">
        <w:t>argumentative</w:t>
      </w:r>
      <w:r w:rsidRPr="007856FA">
        <w:t xml:space="preserve"> writing</w:t>
      </w:r>
      <w:r w:rsidR="00E271A7" w:rsidRPr="007856FA">
        <w:t xml:space="preserve"> is to</w:t>
      </w:r>
      <w:r w:rsidRPr="007856FA">
        <w:t xml:space="preserve"> put pressure on moves of reflexive presence like signposting and statements of positionality. </w:t>
      </w:r>
      <w:r w:rsidR="00E271A7" w:rsidRPr="007856FA">
        <w:t>I will do this thinking with three texts engaging the intersections of the writerly self, the poem, and the essa</w:t>
      </w:r>
      <w:r w:rsidR="00284183" w:rsidRPr="007856FA">
        <w:t xml:space="preserve">y: </w:t>
      </w:r>
      <w:r w:rsidRPr="007856FA">
        <w:t xml:space="preserve">Billy-Ray Belcourt’s </w:t>
      </w:r>
      <w:r w:rsidRPr="007856FA">
        <w:rPr>
          <w:i/>
        </w:rPr>
        <w:t xml:space="preserve">This Wound is a World </w:t>
      </w:r>
      <w:r w:rsidRPr="007856FA">
        <w:t xml:space="preserve">(2017), Dionne Brand’s </w:t>
      </w:r>
      <w:r w:rsidRPr="007856FA">
        <w:rPr>
          <w:i/>
        </w:rPr>
        <w:t>The Blue Clerk</w:t>
      </w:r>
      <w:r w:rsidRPr="007856FA">
        <w:t xml:space="preserve"> (2018), and Brian Blanchfield’s </w:t>
      </w:r>
      <w:r w:rsidRPr="007856FA">
        <w:rPr>
          <w:i/>
        </w:rPr>
        <w:t xml:space="preserve">Proxies </w:t>
      </w:r>
      <w:r w:rsidRPr="007856FA">
        <w:t xml:space="preserve">(2016). The armpit on Belcourt’s cover, the blue thread holding Brand’s book together, and the list of corrections ending Blanchfield’s </w:t>
      </w:r>
      <w:proofErr w:type="gramStart"/>
      <w:r w:rsidRPr="007856FA">
        <w:t>book mark</w:t>
      </w:r>
      <w:proofErr w:type="gramEnd"/>
      <w:r w:rsidRPr="007856FA">
        <w:t xml:space="preserve"> negotiations between text and context. Calling attention to such negotiation means calling attention to the presence that emerges through the negotiating moves that create the text that the presence emerges into. These paratextual elements make relational </w:t>
      </w:r>
      <w:r w:rsidRPr="007856FA">
        <w:lastRenderedPageBreak/>
        <w:t xml:space="preserve">space evident as a thing to engage with: Belcourt’s cover’s armpit for the space of relationship, Brand’s cover’s blue thread for binding across outside and inside, and Blanchfield’s list of corrections for knowledge developed through the thinking happening inside of the writing. </w:t>
      </w:r>
    </w:p>
    <w:p w14:paraId="339D1D7A" w14:textId="77777777" w:rsidR="00A9755A" w:rsidRPr="007856FA" w:rsidRDefault="00A9755A" w:rsidP="00ED5F51">
      <w:pPr>
        <w:spacing w:line="480" w:lineRule="auto"/>
        <w:ind w:firstLine="720"/>
      </w:pPr>
    </w:p>
    <w:p w14:paraId="26567157" w14:textId="77777777" w:rsidR="00873A09" w:rsidRPr="007856FA" w:rsidRDefault="006C2D6D" w:rsidP="00ED5F51">
      <w:pPr>
        <w:spacing w:line="480" w:lineRule="auto"/>
      </w:pPr>
      <w:r w:rsidRPr="007856FA">
        <w:t>Armpit and Ars Poetica</w:t>
      </w:r>
    </w:p>
    <w:p w14:paraId="26567158" w14:textId="7EA7C293" w:rsidR="00873A09" w:rsidRPr="007856FA" w:rsidRDefault="006C2D6D" w:rsidP="00ED5F51">
      <w:pPr>
        <w:spacing w:line="480" w:lineRule="auto"/>
        <w:ind w:firstLine="720"/>
      </w:pPr>
      <w:r w:rsidRPr="007856FA">
        <w:t>The armpit on the cover of Billy-Ray Belcourt’s</w:t>
      </w:r>
      <w:r w:rsidR="00C50A39" w:rsidRPr="007856FA">
        <w:t xml:space="preserve"> poetry collection</w:t>
      </w:r>
      <w:r w:rsidRPr="007856FA">
        <w:t xml:space="preserve"> </w:t>
      </w:r>
      <w:r w:rsidRPr="007856FA">
        <w:rPr>
          <w:i/>
        </w:rPr>
        <w:t xml:space="preserve">This Wound is a World </w:t>
      </w:r>
      <w:r w:rsidRPr="007856FA">
        <w:t>captures my attention</w:t>
      </w:r>
      <w:r w:rsidR="00A12D46" w:rsidRPr="007856FA">
        <w:t xml:space="preserve"> (armpits also come up frequently in his poems)</w:t>
      </w:r>
      <w:r w:rsidRPr="007856FA">
        <w:t xml:space="preserve">. An armpit is a join, a place of relationship. Where is a poem’s armpit? </w:t>
      </w:r>
    </w:p>
    <w:p w14:paraId="26567159" w14:textId="7E1FD911" w:rsidR="00873A09" w:rsidRPr="007856FA" w:rsidRDefault="006C2D6D" w:rsidP="00ED5F51">
      <w:pPr>
        <w:spacing w:line="480" w:lineRule="auto"/>
        <w:ind w:firstLine="720"/>
      </w:pPr>
      <w:r w:rsidRPr="007856FA">
        <w:t xml:space="preserve">This armpit captures my attention because I have a hard time understanding where exactly I </w:t>
      </w:r>
      <w:proofErr w:type="gramStart"/>
      <w:r w:rsidRPr="007856FA">
        <w:t>end</w:t>
      </w:r>
      <w:proofErr w:type="gramEnd"/>
      <w:r w:rsidRPr="007856FA">
        <w:t xml:space="preserve"> and the poem begins. I’ve been floating the idea that I am a poem. I understand that in most ways I am not literally a poem, but I don’t mean the statement metaphorically either. What exists between metaphor and literality? Metonymy does. Metonymy is a trope that refers to something by way of something associated with it: one thing stands in for something literally or conventionally related to it. I am attracted to metonymy because I think it makes evident the difficulty of figuring out where the space of relationship stops and something else begins. For example, a common metonym is poet-for-poem: Have you read Billy-Ray Belcourt? The poet isn’t literally the poem. Yet the poem</w:t>
      </w:r>
      <w:r w:rsidR="00C50A39" w:rsidRPr="007856FA">
        <w:t>, like the essay,</w:t>
      </w:r>
      <w:r w:rsidRPr="007856FA">
        <w:t xml:space="preserve"> is the poet’s thoughts and the poet’s creative action. To what extent and at what point do thoughts and actions stop being part of the one thinking and doing them? If my thoughts and actions aren’t what I am, what’s left? Metonymy helpfully reveals the literal connections within and between things that defy untangling. So, let’s say I’m metonymically a poem. What are the implications of thinking this way</w:t>
      </w:r>
      <w:r w:rsidR="00C50A39" w:rsidRPr="007856FA">
        <w:t xml:space="preserve"> for the writing process</w:t>
      </w:r>
      <w:r w:rsidRPr="007856FA">
        <w:t>?</w:t>
      </w:r>
    </w:p>
    <w:p w14:paraId="2A984A5B" w14:textId="5C8DB59D" w:rsidR="00A35776" w:rsidRPr="007856FA" w:rsidRDefault="00DA0229" w:rsidP="00ED5F51">
      <w:pPr>
        <w:spacing w:line="480" w:lineRule="auto"/>
        <w:ind w:firstLine="720"/>
      </w:pPr>
      <w:r w:rsidRPr="007856FA">
        <w:lastRenderedPageBreak/>
        <w:t xml:space="preserve">Writers create from positions in the world into the writing, and in the writing, they create new possibilities. </w:t>
      </w:r>
      <w:r w:rsidR="006C2D6D" w:rsidRPr="007856FA">
        <w:t xml:space="preserve">In </w:t>
      </w:r>
      <w:r w:rsidR="00104350" w:rsidRPr="007856FA">
        <w:t xml:space="preserve">“Ars Poetica,” </w:t>
      </w:r>
      <w:r w:rsidR="006C2D6D" w:rsidRPr="007856FA">
        <w:t xml:space="preserve">a poem from </w:t>
      </w:r>
      <w:r w:rsidR="006C2D6D" w:rsidRPr="007856FA">
        <w:rPr>
          <w:i/>
        </w:rPr>
        <w:t>NDN Coping Mechanisms</w:t>
      </w:r>
      <w:r w:rsidR="00104350" w:rsidRPr="007856FA">
        <w:t>,</w:t>
      </w:r>
      <w:r w:rsidR="006C2D6D" w:rsidRPr="007856FA">
        <w:t xml:space="preserve"> Billy-Ray Belcourt theorizes the art of poetry with the help of a </w:t>
      </w:r>
      <w:proofErr w:type="spellStart"/>
      <w:r w:rsidR="006C2D6D" w:rsidRPr="007856FA">
        <w:t>proemium</w:t>
      </w:r>
      <w:proofErr w:type="spellEnd"/>
      <w:r w:rsidR="006C2D6D" w:rsidRPr="007856FA">
        <w:t xml:space="preserve"> engaging with Roland Barthes’ “Is There Any Poetic Writing?”: “Barthes argues that words do not merely ‘reproduce the depth and singularity of an individual experience.’ For him, ‘they are spread out to form a surface’” (55). Words don’t reproduce individual experience but create a ground for it. Belcourt’s poem is about creating this ground: “I wrote a poem to resemble a forest floor teeming with decaying vegetation” (1). The speaker writing this </w:t>
      </w:r>
      <w:proofErr w:type="spellStart"/>
      <w:r w:rsidR="006C2D6D" w:rsidRPr="007856FA">
        <w:t>ars</w:t>
      </w:r>
      <w:proofErr w:type="spellEnd"/>
      <w:r w:rsidR="006C2D6D" w:rsidRPr="007856FA">
        <w:t xml:space="preserve"> poetica places his experiences on its surfaces: “I too have laid myself flat on the sullied mattress of a poem” (11). This poem plays with the idea of mimesis, of mere reproduction of individual experience as it is “resembling a forest floor” and reflecting “with warped mirrors” to produce “a distorted image of oneself” (14-16). But the speaker knows, “</w:t>
      </w:r>
      <w:r w:rsidR="00104350" w:rsidRPr="007856FA">
        <w:t>[a]</w:t>
      </w:r>
      <w:r w:rsidR="006C2D6D" w:rsidRPr="007856FA">
        <w:t xml:space="preserve"> poem, however, isn’t a mirror. / A mirror wants nothing for itself” (17-18). A poem’s operations are not, then, passive like a mirror’s. This poem may </w:t>
      </w:r>
      <w:r w:rsidR="006C2D6D" w:rsidRPr="007856FA">
        <w:rPr>
          <w:i/>
        </w:rPr>
        <w:t>have</w:t>
      </w:r>
      <w:r w:rsidR="006C2D6D" w:rsidRPr="007856FA">
        <w:t xml:space="preserve"> mirrors that reflect the image of the warped colonial present of decay and sully, but as a whole it reflects a future come back to us: “A poem, a surface / to boomerang a future history, a future past” (19-20). How is a poem a surface that rebounds an image across time? Perhaps a poem is a place in which a future that doesn’t follow straight from this present can be imagined, by throwing an idea into a desirable future and catching what rebounds back. </w:t>
      </w:r>
    </w:p>
    <w:p w14:paraId="2656715A" w14:textId="7A706E44" w:rsidR="00873A09" w:rsidRPr="007856FA" w:rsidRDefault="006C2D6D" w:rsidP="00ED5F51">
      <w:pPr>
        <w:spacing w:line="480" w:lineRule="auto"/>
        <w:ind w:firstLine="720"/>
      </w:pPr>
      <w:r w:rsidRPr="007856FA">
        <w:t xml:space="preserve">To say that literally, a poem—which operates within the relationships of the larger world but is also deliberately set off as its own recognizable whole to produce awareness of those larger relationships—is a ground on which to think thoughts that are difficult to think in the structures of the here and now. In Belcourt’s “Romance of the Present,” a poem in which the speaker “make[s] out with [his] imaginary NDN lover / in the ashes of every Canadian pastoral poem </w:t>
      </w:r>
      <w:r w:rsidRPr="007856FA">
        <w:lastRenderedPageBreak/>
        <w:t xml:space="preserve">ever written” (9-10), the speaker scorns “a romance of the present” (19): “The present was a mistake. / The possibility of anything else is a call to arms” (20-21). One way to read this call to arms is in relation to lines from a poem earlier in the collection: “I want to write as though the sentence were a set of limbs / to be </w:t>
      </w:r>
      <w:proofErr w:type="spellStart"/>
      <w:r w:rsidRPr="007856FA">
        <w:t>puppeteered</w:t>
      </w:r>
      <w:proofErr w:type="spellEnd"/>
      <w:r w:rsidRPr="007856FA">
        <w:t>” (“What to an NDN is the intrinsic goodness of mankind?” 5-6). What if writing a poem is a call to the arms of its sentences that might be caused to throw and catch “a future past”? If a poem calls on itself to catch the difference it creates, where is the poet operating? Where is the armpit joining the poet to the thing they make happen as they create it? In some ways, the poem is the armpit, the armpit between the moment of writing and the future. It is a ground for the poet to act from.</w:t>
      </w:r>
      <w:r w:rsidR="00C50A39" w:rsidRPr="007856FA">
        <w:t xml:space="preserve"> An essay can be an armpit creating and catching what it creates, and an essay can be a ground to act from if we </w:t>
      </w:r>
      <w:r w:rsidR="00104350" w:rsidRPr="007856FA">
        <w:t xml:space="preserve">understand and </w:t>
      </w:r>
      <w:r w:rsidR="00C50A39" w:rsidRPr="007856FA">
        <w:t xml:space="preserve">teach it not as a place for a writer to reproduce their knowledge, but as a place to produce a relationship to the writing that is itself productive. </w:t>
      </w:r>
    </w:p>
    <w:p w14:paraId="0087351B" w14:textId="233FA071" w:rsidR="00AE2DAF" w:rsidRPr="007856FA" w:rsidRDefault="00884168" w:rsidP="00ED5F51">
      <w:pPr>
        <w:spacing w:line="480" w:lineRule="auto"/>
        <w:ind w:firstLine="720"/>
      </w:pPr>
      <w:r w:rsidRPr="007856FA">
        <w:t>To this end, w</w:t>
      </w:r>
      <w:r w:rsidR="00E22EDF" w:rsidRPr="007856FA">
        <w:t xml:space="preserve">hen writing, I consider myself </w:t>
      </w:r>
      <w:proofErr w:type="spellStart"/>
      <w:r w:rsidR="00E22EDF" w:rsidRPr="007856FA">
        <w:t>paratext</w:t>
      </w:r>
      <w:proofErr w:type="spellEnd"/>
      <w:r w:rsidR="00E22EDF" w:rsidRPr="007856FA">
        <w:t xml:space="preserve"> for my text.</w:t>
      </w:r>
      <w:r w:rsidR="006C2D6D" w:rsidRPr="007856FA">
        <w:t xml:space="preserve"> Where does </w:t>
      </w:r>
      <w:proofErr w:type="spellStart"/>
      <w:r w:rsidR="006C2D6D" w:rsidRPr="007856FA">
        <w:t>paratext</w:t>
      </w:r>
      <w:proofErr w:type="spellEnd"/>
      <w:r w:rsidR="006C2D6D" w:rsidRPr="007856FA">
        <w:t xml:space="preserve"> end and context begin? Any element of context is </w:t>
      </w:r>
      <w:proofErr w:type="spellStart"/>
      <w:r w:rsidR="006C2D6D" w:rsidRPr="007856FA">
        <w:t>paratext</w:t>
      </w:r>
      <w:proofErr w:type="spellEnd"/>
      <w:r w:rsidR="006C2D6D" w:rsidRPr="007856FA">
        <w:t xml:space="preserve"> when taken as </w:t>
      </w:r>
      <w:proofErr w:type="spellStart"/>
      <w:r w:rsidR="006C2D6D" w:rsidRPr="007856FA">
        <w:t>paratext</w:t>
      </w:r>
      <w:proofErr w:type="spellEnd"/>
      <w:r w:rsidR="006C2D6D" w:rsidRPr="007856FA">
        <w:t xml:space="preserve">: it is </w:t>
      </w:r>
      <w:proofErr w:type="spellStart"/>
      <w:r w:rsidR="006C2D6D" w:rsidRPr="007856FA">
        <w:t>paratext</w:t>
      </w:r>
      <w:proofErr w:type="spellEnd"/>
      <w:r w:rsidR="006C2D6D" w:rsidRPr="007856FA">
        <w:t xml:space="preserve"> if it makes the text present. As Gérard Genette explains in his foundational study of </w:t>
      </w:r>
      <w:proofErr w:type="spellStart"/>
      <w:r w:rsidR="006C2D6D" w:rsidRPr="007856FA">
        <w:t>paratext</w:t>
      </w:r>
      <w:proofErr w:type="spellEnd"/>
      <w:r w:rsidR="006C2D6D" w:rsidRPr="007856FA">
        <w:t>, paratextual elements have the function of presenting a text: “They surround it and extend it, precisely in order to present it, in the usual sense of this verb but also in the strongest sense: to make present, to ensure the text's presence in the world” (1). It might seem odd to think of myself as author as in the service of my essay or poem, but, as Genette puts it, “</w:t>
      </w:r>
      <w:proofErr w:type="spellStart"/>
      <w:r w:rsidR="006C2D6D" w:rsidRPr="007856FA">
        <w:t>paratext</w:t>
      </w:r>
      <w:proofErr w:type="spellEnd"/>
      <w:r w:rsidR="006C2D6D" w:rsidRPr="007856FA">
        <w:t xml:space="preserve"> is an </w:t>
      </w:r>
      <w:proofErr w:type="gramStart"/>
      <w:r w:rsidR="006C2D6D" w:rsidRPr="007856FA">
        <w:t>often indefinite</w:t>
      </w:r>
      <w:proofErr w:type="gramEnd"/>
      <w:r w:rsidR="006C2D6D" w:rsidRPr="007856FA">
        <w:t xml:space="preserve"> fringe between text and off-text” (343). When Genette discusses the authorial comments that can be understood as </w:t>
      </w:r>
      <w:proofErr w:type="spellStart"/>
      <w:r w:rsidR="006C2D6D" w:rsidRPr="007856FA">
        <w:t>paratext</w:t>
      </w:r>
      <w:proofErr w:type="spellEnd"/>
      <w:r w:rsidR="006C2D6D" w:rsidRPr="007856FA">
        <w:t xml:space="preserve">, he notes that </w:t>
      </w:r>
      <w:proofErr w:type="spellStart"/>
      <w:r w:rsidR="006C2D6D" w:rsidRPr="007856FA">
        <w:t>paratext</w:t>
      </w:r>
      <w:proofErr w:type="spellEnd"/>
      <w:r w:rsidR="006C2D6D" w:rsidRPr="007856FA">
        <w:t xml:space="preserve"> “confronts us with its lack of external limits” (345). Whatever I am and do can be read as </w:t>
      </w:r>
      <w:proofErr w:type="spellStart"/>
      <w:r w:rsidR="006C2D6D" w:rsidRPr="007856FA">
        <w:t>paratext</w:t>
      </w:r>
      <w:proofErr w:type="spellEnd"/>
      <w:r w:rsidR="006C2D6D" w:rsidRPr="007856FA">
        <w:t xml:space="preserve"> to inform my text. As Genette explains, “‘The </w:t>
      </w:r>
      <w:proofErr w:type="spellStart"/>
      <w:r w:rsidR="006C2D6D" w:rsidRPr="007856FA">
        <w:t>paratext</w:t>
      </w:r>
      <w:proofErr w:type="spellEnd"/>
      <w:r w:rsidR="006C2D6D" w:rsidRPr="007856FA">
        <w:t xml:space="preserve">,’ properly speaking, does not exist; rather, one chooses to </w:t>
      </w:r>
      <w:r w:rsidR="006C2D6D" w:rsidRPr="007856FA">
        <w:lastRenderedPageBreak/>
        <w:t xml:space="preserve">account in these terms for a certain number of practices or effects, for reasons of method and effectiveness” (343). </w:t>
      </w:r>
      <w:proofErr w:type="gramStart"/>
      <w:r w:rsidR="006C2D6D" w:rsidRPr="007856FA">
        <w:t>So</w:t>
      </w:r>
      <w:proofErr w:type="gramEnd"/>
      <w:r w:rsidR="006C2D6D" w:rsidRPr="007856FA">
        <w:t xml:space="preserve"> what might be </w:t>
      </w:r>
      <w:r w:rsidR="00AE2DAF" w:rsidRPr="007856FA">
        <w:t>effective</w:t>
      </w:r>
      <w:r w:rsidR="006C2D6D" w:rsidRPr="007856FA">
        <w:t xml:space="preserve"> about the method of thinking of myself as a </w:t>
      </w:r>
      <w:proofErr w:type="spellStart"/>
      <w:r w:rsidR="006C2D6D" w:rsidRPr="007856FA">
        <w:t>paratext</w:t>
      </w:r>
      <w:proofErr w:type="spellEnd"/>
      <w:r w:rsidR="006C2D6D" w:rsidRPr="007856FA">
        <w:t xml:space="preserve"> of my essay</w:t>
      </w:r>
      <w:r w:rsidR="00AE2DAF" w:rsidRPr="007856FA">
        <w:t xml:space="preserve"> while I write</w:t>
      </w:r>
      <w:r w:rsidR="006C2D6D" w:rsidRPr="007856FA">
        <w:t>?</w:t>
      </w:r>
      <w:r w:rsidR="00AE2DAF" w:rsidRPr="007856FA">
        <w:t xml:space="preserve"> To position myself as my essay’s armpit is t</w:t>
      </w:r>
      <w:r w:rsidR="00E22EDF" w:rsidRPr="007856FA">
        <w:t xml:space="preserve">o </w:t>
      </w:r>
      <w:r w:rsidR="00AE2DAF" w:rsidRPr="007856FA">
        <w:t xml:space="preserve">notice how much neither I nor the essay is a </w:t>
      </w:r>
      <w:r w:rsidR="00104350" w:rsidRPr="007856FA">
        <w:t xml:space="preserve">stable </w:t>
      </w:r>
      <w:r w:rsidR="00AE2DAF" w:rsidRPr="007856FA">
        <w:t>given</w:t>
      </w:r>
      <w:r w:rsidR="00BD7AD5" w:rsidRPr="007856FA">
        <w:t xml:space="preserve"> but that the relationship between them is the hinge from which both can produce new meaning together</w:t>
      </w:r>
      <w:r w:rsidR="00AE2DAF" w:rsidRPr="007856FA">
        <w:t xml:space="preserve">: I have agency to create from myself </w:t>
      </w:r>
      <w:r w:rsidR="00BD7AD5" w:rsidRPr="007856FA">
        <w:t xml:space="preserve">in the world </w:t>
      </w:r>
      <w:r w:rsidR="00AE2DAF" w:rsidRPr="007856FA">
        <w:t>and to create my</w:t>
      </w:r>
      <w:r w:rsidR="00BD7AD5" w:rsidRPr="007856FA">
        <w:t>self in the world</w:t>
      </w:r>
      <w:r w:rsidR="00AE2DAF" w:rsidRPr="007856FA">
        <w:t xml:space="preserve"> through the process of writing</w:t>
      </w:r>
      <w:r w:rsidR="00BD7AD5" w:rsidRPr="007856FA">
        <w:t>.</w:t>
      </w:r>
    </w:p>
    <w:p w14:paraId="2656715C" w14:textId="77777777" w:rsidR="00873A09" w:rsidRPr="007856FA" w:rsidRDefault="00873A09" w:rsidP="00ED5F51">
      <w:pPr>
        <w:spacing w:line="480" w:lineRule="auto"/>
      </w:pPr>
    </w:p>
    <w:p w14:paraId="2656715D" w14:textId="77777777" w:rsidR="00873A09" w:rsidRPr="007856FA" w:rsidRDefault="006C2D6D" w:rsidP="00ED5F51">
      <w:pPr>
        <w:spacing w:line="480" w:lineRule="auto"/>
      </w:pPr>
      <w:proofErr w:type="spellStart"/>
      <w:r w:rsidRPr="007856FA">
        <w:t>Paratext</w:t>
      </w:r>
      <w:proofErr w:type="spellEnd"/>
      <w:r w:rsidRPr="007856FA">
        <w:t xml:space="preserve"> and Blue Binding</w:t>
      </w:r>
    </w:p>
    <w:p w14:paraId="2656715E" w14:textId="40A41570" w:rsidR="00873A09" w:rsidRPr="007856FA" w:rsidRDefault="006C2D6D" w:rsidP="00ED5F51">
      <w:pPr>
        <w:spacing w:line="480" w:lineRule="auto"/>
        <w:ind w:firstLine="720"/>
      </w:pPr>
      <w:r w:rsidRPr="007856FA">
        <w:t xml:space="preserve">Dionne Brand writes </w:t>
      </w:r>
      <w:r w:rsidR="00167705" w:rsidRPr="007856FA">
        <w:t>a writerly self</w:t>
      </w:r>
      <w:r w:rsidRPr="007856FA">
        <w:t xml:space="preserve"> into </w:t>
      </w:r>
      <w:r w:rsidRPr="007856FA">
        <w:rPr>
          <w:i/>
        </w:rPr>
        <w:t>The Blue Clerk: Ars Poetica in 59 Versos</w:t>
      </w:r>
      <w:r w:rsidRPr="007856FA">
        <w:t xml:space="preserve">. What is </w:t>
      </w:r>
      <w:proofErr w:type="spellStart"/>
      <w:r w:rsidRPr="007856FA">
        <w:t>paratext</w:t>
      </w:r>
      <w:proofErr w:type="spellEnd"/>
      <w:r w:rsidRPr="007856FA">
        <w:t xml:space="preserve"> in </w:t>
      </w:r>
      <w:proofErr w:type="spellStart"/>
      <w:r w:rsidRPr="007856FA">
        <w:t>ars</w:t>
      </w:r>
      <w:proofErr w:type="spellEnd"/>
      <w:r w:rsidRPr="007856FA">
        <w:t xml:space="preserve"> poetica? An </w:t>
      </w:r>
      <w:proofErr w:type="spellStart"/>
      <w:r w:rsidRPr="007856FA">
        <w:t>ars</w:t>
      </w:r>
      <w:proofErr w:type="spellEnd"/>
      <w:r w:rsidRPr="007856FA">
        <w:t xml:space="preserve"> poetica is about its own creation, about how it presents itself, so the text proper takes on some elements of </w:t>
      </w:r>
      <w:proofErr w:type="spellStart"/>
      <w:r w:rsidRPr="007856FA">
        <w:t>paratext</w:t>
      </w:r>
      <w:proofErr w:type="spellEnd"/>
      <w:r w:rsidRPr="007856FA">
        <w:t xml:space="preserve">: Brand’s text is about what it makes present and how the author </w:t>
      </w:r>
      <w:proofErr w:type="gramStart"/>
      <w:r w:rsidRPr="007856FA">
        <w:t>enters into</w:t>
      </w:r>
      <w:proofErr w:type="gramEnd"/>
      <w:r w:rsidRPr="007856FA">
        <w:t xml:space="preserve"> that presence. The publisher’s web page calls </w:t>
      </w:r>
      <w:r w:rsidRPr="007856FA">
        <w:rPr>
          <w:i/>
        </w:rPr>
        <w:t>The Blue Clerk</w:t>
      </w:r>
      <w:r w:rsidRPr="007856FA">
        <w:t xml:space="preserve"> a series of “essay poems” about “the act and difficulty of writing, the relationship between the poet and the world, and the link between author and art” (“The Blue Clerk”). It consists of versos—the term for the left-hand page of a book—in which a character called the author speaks with one called the clerk who collects what the author withholds. The author character has written the other books that Brand has written outside of this text, so Brand blurs the line between authorial presence as </w:t>
      </w:r>
      <w:proofErr w:type="spellStart"/>
      <w:r w:rsidRPr="007856FA">
        <w:t>paratext</w:t>
      </w:r>
      <w:proofErr w:type="spellEnd"/>
      <w:r w:rsidRPr="007856FA">
        <w:t xml:space="preserve"> and as text. </w:t>
      </w:r>
    </w:p>
    <w:p w14:paraId="2656715F" w14:textId="77777777" w:rsidR="00873A09" w:rsidRPr="007856FA" w:rsidRDefault="006C2D6D" w:rsidP="00ED5F51">
      <w:pPr>
        <w:spacing w:line="480" w:lineRule="auto"/>
        <w:ind w:firstLine="720"/>
      </w:pPr>
      <w:r w:rsidRPr="007856FA">
        <w:t xml:space="preserve">The book is distinctively bound with blue thread. The blue thread holds the book together and aligns with the blue clerk, with the blue clerk’s holding instead of withholding. The blue binding draws attention to the relationship between inside and outside the text, and this text holds a lot of that outside in its inside. </w:t>
      </w:r>
    </w:p>
    <w:p w14:paraId="26567160" w14:textId="77777777" w:rsidR="00873A09" w:rsidRPr="007856FA" w:rsidRDefault="006C2D6D" w:rsidP="00ED5F51">
      <w:pPr>
        <w:spacing w:line="480" w:lineRule="auto"/>
        <w:ind w:firstLine="720"/>
      </w:pPr>
      <w:r w:rsidRPr="007856FA">
        <w:lastRenderedPageBreak/>
        <w:t xml:space="preserve">The blue thread is an armpit. </w:t>
      </w:r>
      <w:proofErr w:type="spellStart"/>
      <w:r w:rsidRPr="007856FA">
        <w:t>Paratext</w:t>
      </w:r>
      <w:proofErr w:type="spellEnd"/>
      <w:r w:rsidRPr="007856FA">
        <w:t xml:space="preserve"> is an armpit because it is text/not-text, the mediator between two things. The stitch is the space of relationship, is inside and outside the text as the thread goes in and out. With this symbolic paratextual element that signifies relational space between text and not-text, the text presents itself as and within the space of relationship. </w:t>
      </w:r>
    </w:p>
    <w:p w14:paraId="26567161" w14:textId="347C159C" w:rsidR="00873A09" w:rsidRPr="007856FA" w:rsidRDefault="0089633C" w:rsidP="00ED5F51">
      <w:pPr>
        <w:spacing w:line="480" w:lineRule="auto"/>
        <w:ind w:firstLine="720"/>
      </w:pPr>
      <w:r w:rsidRPr="007856FA">
        <w:t>This</w:t>
      </w:r>
      <w:r w:rsidR="006C2D6D" w:rsidRPr="007856FA">
        <w:t xml:space="preserve"> book creates a relational space and is the relational space in which something different can happen, in which the author can exist in a way that is in our world’s structures of coloniality but also in which our world’s structures are </w:t>
      </w:r>
      <w:proofErr w:type="spellStart"/>
      <w:r w:rsidR="006C2D6D" w:rsidRPr="007856FA">
        <w:t>paratexts</w:t>
      </w:r>
      <w:proofErr w:type="spellEnd"/>
      <w:r w:rsidR="006C2D6D" w:rsidRPr="007856FA">
        <w:t xml:space="preserve"> in service of the text. In </w:t>
      </w:r>
      <w:r w:rsidR="006C2D6D" w:rsidRPr="007856FA">
        <w:rPr>
          <w:i/>
        </w:rPr>
        <w:t>The Blue Clerk</w:t>
      </w:r>
      <w:r w:rsidR="006C2D6D" w:rsidRPr="007856FA">
        <w:t xml:space="preserve">, “Poetry has that ability to reconstitute language; it uses time. It can make you see the xylem between the then and the after, or the now and the after. It has no obligation to the present. It </w:t>
      </w:r>
      <w:r w:rsidR="006C2D6D" w:rsidRPr="007856FA">
        <w:rPr>
          <w:i/>
        </w:rPr>
        <w:t>is</w:t>
      </w:r>
      <w:r w:rsidR="006C2D6D" w:rsidRPr="007856FA">
        <w:t xml:space="preserve"> time” (112). Poetry let</w:t>
      </w:r>
      <w:r w:rsidRPr="007856FA">
        <w:t>s</w:t>
      </w:r>
      <w:r w:rsidR="006C2D6D" w:rsidRPr="007856FA">
        <w:t xml:space="preserve"> us see the “xylem”—the cells and </w:t>
      </w:r>
      <w:proofErr w:type="spellStart"/>
      <w:r w:rsidR="006C2D6D" w:rsidRPr="007856FA">
        <w:t>fibres</w:t>
      </w:r>
      <w:proofErr w:type="spellEnd"/>
      <w:r w:rsidR="006C2D6D" w:rsidRPr="007856FA">
        <w:t xml:space="preserve">, the connective tissues, the relational space—but it isn’t beholden to the linear time of the world; it is time in the sense that it is xylem, connection itself, the armpit in which the world’s time can be written in new ways—like Belcourt’s call to arms for the poem puppet to send back a new future. </w:t>
      </w:r>
    </w:p>
    <w:p w14:paraId="3B8A7389" w14:textId="17DEFE9E" w:rsidR="002417FF" w:rsidRPr="007856FA" w:rsidRDefault="006C2D6D" w:rsidP="00ED5F51">
      <w:pPr>
        <w:spacing w:line="480" w:lineRule="auto"/>
        <w:ind w:firstLine="720"/>
      </w:pPr>
      <w:r w:rsidRPr="007856FA">
        <w:t>The poem literally has to exist in the larger world (it can’t get outside of it), but the poem does really bring elements of the larger world inside of it, or onto its borders. These autobiographical/</w:t>
      </w:r>
      <w:proofErr w:type="spellStart"/>
      <w:r w:rsidRPr="007856FA">
        <w:t>ars</w:t>
      </w:r>
      <w:proofErr w:type="spellEnd"/>
      <w:r w:rsidRPr="007856FA">
        <w:t xml:space="preserve"> poetical essay-poems make world elements </w:t>
      </w:r>
      <w:r w:rsidR="0089633C" w:rsidRPr="007856FA">
        <w:t xml:space="preserve">like language and time </w:t>
      </w:r>
      <w:r w:rsidRPr="007856FA">
        <w:t>into paratextual elements, so that the world serves its needs rather than the other way around. As Genette says, “the paratextual element is always sub-ordinate to ‘its’ text” (12).</w:t>
      </w:r>
      <w:r w:rsidR="00161CA0" w:rsidRPr="007856FA">
        <w:t xml:space="preserve"> Students writing essays</w:t>
      </w:r>
      <w:r w:rsidR="002417FF" w:rsidRPr="007856FA">
        <w:t xml:space="preserve"> might think about the writing process in this way that does not </w:t>
      </w:r>
      <w:r w:rsidR="0050273E" w:rsidRPr="007856FA">
        <w:t xml:space="preserve">only </w:t>
      </w:r>
      <w:r w:rsidR="002417FF" w:rsidRPr="007856FA">
        <w:t xml:space="preserve">reproduce what </w:t>
      </w:r>
      <w:r w:rsidR="0089633C" w:rsidRPr="007856FA">
        <w:t xml:space="preserve">they know and what is known </w:t>
      </w:r>
      <w:r w:rsidR="002417FF" w:rsidRPr="007856FA">
        <w:t xml:space="preserve">but </w:t>
      </w:r>
      <w:r w:rsidR="0050273E" w:rsidRPr="007856FA">
        <w:t xml:space="preserve">also </w:t>
      </w:r>
      <w:r w:rsidR="002417FF" w:rsidRPr="007856FA">
        <w:t>produces conditions in which to come to know differently.</w:t>
      </w:r>
    </w:p>
    <w:p w14:paraId="26567163" w14:textId="77777777" w:rsidR="00873A09" w:rsidRPr="007856FA" w:rsidRDefault="00873A09" w:rsidP="00ED5F51">
      <w:pPr>
        <w:spacing w:line="480" w:lineRule="auto"/>
        <w:ind w:firstLine="720"/>
      </w:pPr>
    </w:p>
    <w:p w14:paraId="26567164" w14:textId="77777777" w:rsidR="00873A09" w:rsidRPr="007856FA" w:rsidRDefault="006C2D6D" w:rsidP="00ED5F51">
      <w:pPr>
        <w:spacing w:line="480" w:lineRule="auto"/>
      </w:pPr>
      <w:r w:rsidRPr="007856FA">
        <w:t xml:space="preserve">Corrections and Knowing in Writing </w:t>
      </w:r>
    </w:p>
    <w:p w14:paraId="129229A9" w14:textId="7FF85739" w:rsidR="00857A4C" w:rsidRPr="007856FA" w:rsidRDefault="006C2D6D" w:rsidP="00ED5F51">
      <w:pPr>
        <w:spacing w:line="480" w:lineRule="auto"/>
        <w:ind w:firstLine="720"/>
      </w:pPr>
      <w:r w:rsidRPr="007856FA">
        <w:rPr>
          <w:i/>
        </w:rPr>
        <w:lastRenderedPageBreak/>
        <w:t xml:space="preserve">Proxies: Essays Near Knowing </w:t>
      </w:r>
      <w:r w:rsidRPr="007856FA">
        <w:t xml:space="preserve">is a collection of essays, each on a single subject. Blanchfield’s experiment was to </w:t>
      </w:r>
      <w:r w:rsidR="00AC44A6" w:rsidRPr="007856FA">
        <w:t>figure out</w:t>
      </w:r>
      <w:r w:rsidRPr="007856FA">
        <w:t xml:space="preserve"> what he knows by writing from memory: “I determined not to review again the books and other works I consulted in memory, and I did not stop thinking through the subject at hand to verify assertions or ground speculation or firm up approximations” (vii). He checks these sources afterward, including a twenty-page endnote called “Correction” that specifies where his knowledge was failing. This is a </w:t>
      </w:r>
      <w:proofErr w:type="spellStart"/>
      <w:r w:rsidRPr="007856FA">
        <w:t>paratext</w:t>
      </w:r>
      <w:proofErr w:type="spellEnd"/>
      <w:r w:rsidRPr="007856FA">
        <w:t xml:space="preserve"> that makes present the self that he develops in the essays, by showing the specific nature and limits of what that self knows. This collection of essays takes as its subject what the author knows and in this way what Blanchfield writes is what constructs what he–as author–knows at that moment: his knowing is what makes the </w:t>
      </w:r>
      <w:proofErr w:type="gramStart"/>
      <w:r w:rsidRPr="007856FA">
        <w:t>essays</w:t>
      </w:r>
      <w:proofErr w:type="gramEnd"/>
      <w:r w:rsidRPr="007856FA">
        <w:t xml:space="preserve"> and the essays are what elicit his knowing. Once Blanchfield writes the corrections, he knows them too–it’s only the self in the essays that doesn’t know </w:t>
      </w:r>
      <w:r w:rsidR="00AC44A6" w:rsidRPr="007856FA">
        <w:t>the</w:t>
      </w:r>
      <w:r w:rsidRPr="007856FA">
        <w:t xml:space="preserve"> corrections. </w:t>
      </w:r>
    </w:p>
    <w:p w14:paraId="54B20DCA" w14:textId="65D0B1EB" w:rsidR="00D55993" w:rsidRPr="007856FA" w:rsidRDefault="00857A4C" w:rsidP="00ED5F51">
      <w:pPr>
        <w:spacing w:line="480" w:lineRule="auto"/>
        <w:ind w:firstLine="720"/>
      </w:pPr>
      <w:r w:rsidRPr="007856FA">
        <w:t>The</w:t>
      </w:r>
      <w:r w:rsidR="006C2D6D" w:rsidRPr="007856FA">
        <w:t xml:space="preserve"> title </w:t>
      </w:r>
      <w:r w:rsidR="006C2D6D" w:rsidRPr="007856FA">
        <w:rPr>
          <w:i/>
        </w:rPr>
        <w:t xml:space="preserve">Proxies </w:t>
      </w:r>
      <w:r w:rsidR="006C2D6D" w:rsidRPr="007856FA">
        <w:t xml:space="preserve">refers to the version of </w:t>
      </w:r>
      <w:r w:rsidRPr="007856FA">
        <w:t>the self</w:t>
      </w:r>
      <w:r w:rsidR="006C2D6D" w:rsidRPr="007856FA">
        <w:t xml:space="preserve"> that comes to exist inside of these essays. A proxy, Blanchfield notes, is “a position: a stand-in, an agent, an avatar, a functionary” (viii). A proxy acts, and this fact raises the questions for Blanchfield “</w:t>
      </w:r>
      <w:r w:rsidR="006C2D6D" w:rsidRPr="007856FA">
        <w:rPr>
          <w:i/>
        </w:rPr>
        <w:t>On whose behalf; on what authority do you have [that office]?</w:t>
      </w:r>
      <w:r w:rsidR="006C2D6D" w:rsidRPr="007856FA">
        <w:t xml:space="preserve">” (viii). He notes that the essays in the book come in the order he wrote them: “whatever development can be tracked may correspond to what might be called a self. They are not the same thing” (vii-viii). The development occurs for the proxy self that exists within the office of the essay. This proxy self is the presence in the armpit. </w:t>
      </w:r>
      <w:proofErr w:type="spellStart"/>
      <w:r w:rsidR="006C2D6D" w:rsidRPr="007856FA">
        <w:t>Blachfield</w:t>
      </w:r>
      <w:proofErr w:type="spellEnd"/>
      <w:r w:rsidR="006C2D6D" w:rsidRPr="007856FA">
        <w:t xml:space="preserve"> is a </w:t>
      </w:r>
      <w:proofErr w:type="spellStart"/>
      <w:r w:rsidR="006C2D6D" w:rsidRPr="007856FA">
        <w:t>paratext</w:t>
      </w:r>
      <w:proofErr w:type="spellEnd"/>
      <w:r w:rsidR="006C2D6D" w:rsidRPr="007856FA">
        <w:t xml:space="preserve"> that makes present the proxy self</w:t>
      </w:r>
      <w:r w:rsidR="00B84047" w:rsidRPr="007856FA">
        <w:t xml:space="preserve"> who can know differently from him</w:t>
      </w:r>
      <w:r w:rsidR="006C2D6D" w:rsidRPr="007856FA">
        <w:t>.</w:t>
      </w:r>
      <w:r w:rsidR="00B84047" w:rsidRPr="007856FA">
        <w:t xml:space="preserve"> In this case, the proxy self who develops in the writing process is allowed to lack authoritative knowledge, but the writing process can allow whatever experiments with knowing one needs.</w:t>
      </w:r>
      <w:r w:rsidR="003F4E58" w:rsidRPr="007856FA">
        <w:t xml:space="preserve"> My point here is that writing to show what one knows is an activity with many possible opportunities.  </w:t>
      </w:r>
    </w:p>
    <w:p w14:paraId="6E6D67BB" w14:textId="5E758400" w:rsidR="00AC44A6" w:rsidRPr="007856FA" w:rsidRDefault="008B37BE" w:rsidP="00ED5F51">
      <w:pPr>
        <w:spacing w:line="480" w:lineRule="auto"/>
        <w:ind w:firstLine="720"/>
      </w:pPr>
      <w:r w:rsidRPr="007856FA">
        <w:lastRenderedPageBreak/>
        <w:t xml:space="preserve">Writing is a process through which students can </w:t>
      </w:r>
      <w:r w:rsidR="00C109C0" w:rsidRPr="007856FA">
        <w:t xml:space="preserve">not only explore who they </w:t>
      </w:r>
      <w:r w:rsidR="003F0DE2" w:rsidRPr="007856FA">
        <w:t xml:space="preserve">are </w:t>
      </w:r>
      <w:r w:rsidR="00C109C0" w:rsidRPr="007856FA">
        <w:t xml:space="preserve">and what they know but also a process that creates conditions different from the conditions in the world. The </w:t>
      </w:r>
      <w:r w:rsidR="003F0DE2" w:rsidRPr="007856FA">
        <w:t>deliberately structured new place of the text is</w:t>
      </w:r>
      <w:r w:rsidR="00C109C0" w:rsidRPr="007856FA">
        <w:t xml:space="preserve"> served by </w:t>
      </w:r>
      <w:r w:rsidR="003F0DE2" w:rsidRPr="007856FA">
        <w:t xml:space="preserve">its connection to </w:t>
      </w:r>
      <w:r w:rsidR="00C109C0" w:rsidRPr="007856FA">
        <w:t xml:space="preserve">the wider world when writers approach this world as </w:t>
      </w:r>
      <w:proofErr w:type="spellStart"/>
      <w:r w:rsidR="00C109C0" w:rsidRPr="007856FA">
        <w:t>paratext</w:t>
      </w:r>
      <w:proofErr w:type="spellEnd"/>
      <w:r w:rsidR="003F0DE2" w:rsidRPr="007856FA">
        <w:t>—rather than thinking of the text as merely a contribution into the world as it is, for the purpose of a grade or even to communicate knowledge</w:t>
      </w:r>
      <w:r w:rsidR="00C109C0" w:rsidRPr="007856FA">
        <w:t xml:space="preserve">. Likewise, the writer can approach themselves as </w:t>
      </w:r>
      <w:proofErr w:type="spellStart"/>
      <w:r w:rsidR="00C109C0" w:rsidRPr="007856FA">
        <w:t>paratext</w:t>
      </w:r>
      <w:proofErr w:type="spellEnd"/>
      <w:r w:rsidR="00C109C0" w:rsidRPr="007856FA">
        <w:t xml:space="preserve">, as serving the possibilities of the text. These are possibilities for being and knowing that writers create </w:t>
      </w:r>
      <w:r w:rsidR="006D102F" w:rsidRPr="007856FA">
        <w:t>within the space of the text</w:t>
      </w:r>
      <w:r w:rsidR="005553AF" w:rsidRPr="007856FA">
        <w:t>, for this proxy,</w:t>
      </w:r>
      <w:r w:rsidR="006D102F" w:rsidRPr="007856FA">
        <w:t xml:space="preserve"> </w:t>
      </w:r>
      <w:r w:rsidR="00C109C0" w:rsidRPr="007856FA">
        <w:t xml:space="preserve">but that have implications for </w:t>
      </w:r>
      <w:r w:rsidR="003F0DE2" w:rsidRPr="007856FA">
        <w:t>understanding their own abilities</w:t>
      </w:r>
      <w:r w:rsidR="00C109C0" w:rsidRPr="007856FA">
        <w:t>.</w:t>
      </w:r>
      <w:r w:rsidR="00F52F87" w:rsidRPr="007856FA">
        <w:t xml:space="preserve"> Once something is experienced or known through the process of writing, this development </w:t>
      </w:r>
      <w:r w:rsidR="00691222" w:rsidRPr="007856FA">
        <w:t xml:space="preserve">inside the text, </w:t>
      </w:r>
      <w:r w:rsidR="00F52F87" w:rsidRPr="007856FA">
        <w:t xml:space="preserve">outside of </w:t>
      </w:r>
      <w:r w:rsidR="003F0DE2" w:rsidRPr="007856FA">
        <w:t xml:space="preserve">the world’s </w:t>
      </w:r>
      <w:r w:rsidR="00F52F87" w:rsidRPr="007856FA">
        <w:t>chronological</w:t>
      </w:r>
      <w:r w:rsidR="003F0DE2" w:rsidRPr="007856FA">
        <w:t xml:space="preserve"> or progressing</w:t>
      </w:r>
      <w:r w:rsidR="00F52F87" w:rsidRPr="007856FA">
        <w:t xml:space="preserve"> time</w:t>
      </w:r>
      <w:r w:rsidR="00691222" w:rsidRPr="007856FA">
        <w:t>,</w:t>
      </w:r>
      <w:r w:rsidR="00F52F87" w:rsidRPr="007856FA">
        <w:t xml:space="preserve"> has really happened.</w:t>
      </w:r>
      <w:r w:rsidR="00691222" w:rsidRPr="007856FA">
        <w:t xml:space="preserve"> It is this way of thinking about writing texts that I hope to offer students</w:t>
      </w:r>
      <w:r w:rsidR="00623195" w:rsidRPr="007856FA">
        <w:t xml:space="preserve"> to help them belong as they wish to</w:t>
      </w:r>
      <w:r w:rsidR="00AC44A6" w:rsidRPr="007856FA">
        <w:t>—</w:t>
      </w:r>
    </w:p>
    <w:p w14:paraId="26567165" w14:textId="5D55D4E1" w:rsidR="00873A09" w:rsidRPr="007856FA" w:rsidRDefault="00623195" w:rsidP="00ED5F51">
      <w:pPr>
        <w:spacing w:line="480" w:lineRule="auto"/>
      </w:pPr>
      <w:r w:rsidRPr="007856FA">
        <w:t>to help them find their abilities to make the world one in which they can belong.</w:t>
      </w:r>
    </w:p>
    <w:p w14:paraId="76D7E563" w14:textId="77777777" w:rsidR="00857A4C" w:rsidRPr="007856FA" w:rsidRDefault="00857A4C" w:rsidP="00ED5F51">
      <w:pPr>
        <w:spacing w:line="480" w:lineRule="auto"/>
        <w:ind w:firstLine="720"/>
      </w:pPr>
    </w:p>
    <w:p w14:paraId="26567168" w14:textId="77777777" w:rsidR="00873A09" w:rsidRPr="007856FA" w:rsidRDefault="00873A09" w:rsidP="00ED5F51">
      <w:pPr>
        <w:spacing w:line="480" w:lineRule="auto"/>
      </w:pPr>
    </w:p>
    <w:p w14:paraId="2F02052E" w14:textId="77777777" w:rsidR="007856FA" w:rsidRDefault="007856FA" w:rsidP="00ED5F51">
      <w:pPr>
        <w:spacing w:line="480" w:lineRule="auto"/>
      </w:pPr>
      <w:r>
        <w:br w:type="page"/>
      </w:r>
    </w:p>
    <w:p w14:paraId="26567169" w14:textId="27457764" w:rsidR="00873A09" w:rsidRDefault="006C2D6D" w:rsidP="00ED5F51">
      <w:pPr>
        <w:spacing w:line="480" w:lineRule="auto"/>
        <w:jc w:val="center"/>
      </w:pPr>
      <w:r w:rsidRPr="007856FA">
        <w:lastRenderedPageBreak/>
        <w:t>Works Cited</w:t>
      </w:r>
    </w:p>
    <w:p w14:paraId="2656716A" w14:textId="77777777" w:rsidR="00873A09" w:rsidRPr="007856FA" w:rsidRDefault="006C2D6D" w:rsidP="00ED5F51">
      <w:pPr>
        <w:spacing w:line="480" w:lineRule="auto"/>
        <w:ind w:left="720" w:hanging="720"/>
      </w:pPr>
      <w:r w:rsidRPr="007856FA">
        <w:t xml:space="preserve">Belcourt, Billy-Ray. </w:t>
      </w:r>
      <w:r w:rsidRPr="007856FA">
        <w:rPr>
          <w:i/>
        </w:rPr>
        <w:t xml:space="preserve">NDN Coping Mechanisms: Notes </w:t>
      </w:r>
      <w:proofErr w:type="gramStart"/>
      <w:r w:rsidRPr="007856FA">
        <w:rPr>
          <w:i/>
        </w:rPr>
        <w:t>From</w:t>
      </w:r>
      <w:proofErr w:type="gramEnd"/>
      <w:r w:rsidRPr="007856FA">
        <w:rPr>
          <w:i/>
        </w:rPr>
        <w:t xml:space="preserve"> the Field</w:t>
      </w:r>
      <w:r w:rsidRPr="007856FA">
        <w:t>. Anansi, 2019.</w:t>
      </w:r>
    </w:p>
    <w:p w14:paraId="2656716B" w14:textId="77777777" w:rsidR="00873A09" w:rsidRPr="007856FA" w:rsidRDefault="006C2D6D" w:rsidP="00ED5F51">
      <w:pPr>
        <w:spacing w:line="480" w:lineRule="auto"/>
        <w:ind w:left="720" w:hanging="720"/>
      </w:pPr>
      <w:r w:rsidRPr="007856FA">
        <w:t xml:space="preserve">---. </w:t>
      </w:r>
      <w:r w:rsidRPr="007856FA">
        <w:rPr>
          <w:i/>
        </w:rPr>
        <w:t>This Wound is a World</w:t>
      </w:r>
      <w:r w:rsidRPr="007856FA">
        <w:t>. Frontenac House, 2017.</w:t>
      </w:r>
    </w:p>
    <w:p w14:paraId="2656716C" w14:textId="77777777" w:rsidR="00873A09" w:rsidRPr="007856FA" w:rsidRDefault="006C2D6D" w:rsidP="00ED5F51">
      <w:pPr>
        <w:spacing w:line="480" w:lineRule="auto"/>
        <w:ind w:left="720" w:hanging="720"/>
      </w:pPr>
      <w:r w:rsidRPr="007856FA">
        <w:t xml:space="preserve">Blanchfield, Brian. </w:t>
      </w:r>
      <w:r w:rsidRPr="007856FA">
        <w:rPr>
          <w:i/>
        </w:rPr>
        <w:t>Proxies: Essays Near Knowing</w:t>
      </w:r>
      <w:r w:rsidRPr="007856FA">
        <w:t xml:space="preserve">. </w:t>
      </w:r>
      <w:proofErr w:type="spellStart"/>
      <w:r w:rsidRPr="007856FA">
        <w:t>Nightboat</w:t>
      </w:r>
      <w:proofErr w:type="spellEnd"/>
      <w:r w:rsidRPr="007856FA">
        <w:t>, 2016.</w:t>
      </w:r>
    </w:p>
    <w:p w14:paraId="2656716D" w14:textId="77777777" w:rsidR="00873A09" w:rsidRPr="007856FA" w:rsidRDefault="006C2D6D" w:rsidP="00ED5F51">
      <w:pPr>
        <w:spacing w:line="480" w:lineRule="auto"/>
        <w:ind w:left="720" w:hanging="720"/>
      </w:pPr>
      <w:r w:rsidRPr="007856FA">
        <w:t xml:space="preserve">Brand, Dionne. </w:t>
      </w:r>
      <w:r w:rsidRPr="007856FA">
        <w:rPr>
          <w:i/>
        </w:rPr>
        <w:t>The Blue Clerk</w:t>
      </w:r>
      <w:r w:rsidRPr="007856FA">
        <w:t>. McClennan and Stewart, 2018.</w:t>
      </w:r>
    </w:p>
    <w:p w14:paraId="2656716E" w14:textId="6F66D7A5" w:rsidR="00873A09" w:rsidRPr="007856FA" w:rsidRDefault="006C2D6D" w:rsidP="00ED5F51">
      <w:pPr>
        <w:spacing w:line="480" w:lineRule="auto"/>
        <w:ind w:left="720" w:hanging="720"/>
      </w:pPr>
      <w:bookmarkStart w:id="0" w:name="_heading=h.gjdgxs" w:colFirst="0" w:colLast="0"/>
      <w:bookmarkEnd w:id="0"/>
      <w:r w:rsidRPr="007856FA">
        <w:t xml:space="preserve">Culler, Jonathan. </w:t>
      </w:r>
      <w:r w:rsidRPr="007856FA">
        <w:rPr>
          <w:i/>
        </w:rPr>
        <w:t>Theory of the Lyric</w:t>
      </w:r>
      <w:r w:rsidRPr="007856FA">
        <w:t>. Harvard UP, 2015.</w:t>
      </w:r>
    </w:p>
    <w:p w14:paraId="265671F1" w14:textId="10F05CA8" w:rsidR="00873A09" w:rsidRPr="007856FA" w:rsidRDefault="008225CC" w:rsidP="00ED5F51">
      <w:pPr>
        <w:spacing w:line="480" w:lineRule="auto"/>
        <w:ind w:left="720" w:hanging="720"/>
      </w:pPr>
      <w:r w:rsidRPr="007856FA">
        <w:t xml:space="preserve">Genette, Gérard, translated by Jane E. Lewin. </w:t>
      </w:r>
      <w:proofErr w:type="spellStart"/>
      <w:r w:rsidRPr="007856FA">
        <w:rPr>
          <w:i/>
        </w:rPr>
        <w:t>Paratexts</w:t>
      </w:r>
      <w:proofErr w:type="spellEnd"/>
      <w:r w:rsidRPr="007856FA">
        <w:rPr>
          <w:i/>
        </w:rPr>
        <w:t>: Thresholds of Interpretation</w:t>
      </w:r>
      <w:r w:rsidRPr="007856FA">
        <w:t>. Cambridge UP, 1997.</w:t>
      </w:r>
    </w:p>
    <w:sectPr w:rsidR="00873A09" w:rsidRPr="007856FA">
      <w:headerReference w:type="default" r:id="rId10"/>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12D2" w14:textId="77777777" w:rsidR="003E5776" w:rsidRDefault="003E5776" w:rsidP="008225CC">
      <w:r>
        <w:separator/>
      </w:r>
    </w:p>
  </w:endnote>
  <w:endnote w:type="continuationSeparator" w:id="0">
    <w:p w14:paraId="33DA9916" w14:textId="77777777" w:rsidR="003E5776" w:rsidRDefault="003E5776" w:rsidP="0082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4819" w14:textId="77777777" w:rsidR="003E5776" w:rsidRDefault="003E5776" w:rsidP="008225CC">
      <w:r>
        <w:separator/>
      </w:r>
    </w:p>
  </w:footnote>
  <w:footnote w:type="continuationSeparator" w:id="0">
    <w:p w14:paraId="3609496B" w14:textId="77777777" w:rsidR="003E5776" w:rsidRDefault="003E5776" w:rsidP="0082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CCCD" w14:textId="3BD6AC3E" w:rsidR="007856FA" w:rsidRDefault="007856FA">
    <w:pPr>
      <w:pStyle w:val="Header"/>
      <w:jc w:val="right"/>
    </w:pPr>
    <w:r>
      <w:t xml:space="preserve">Dale Tracy </w:t>
    </w:r>
    <w:sdt>
      <w:sdtPr>
        <w:id w:val="1814891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07FCFC9" w14:textId="77777777" w:rsidR="007856FA" w:rsidRDefault="00785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09"/>
    <w:rsid w:val="00023E96"/>
    <w:rsid w:val="0009578B"/>
    <w:rsid w:val="00104350"/>
    <w:rsid w:val="00115E11"/>
    <w:rsid w:val="00161CA0"/>
    <w:rsid w:val="00167705"/>
    <w:rsid w:val="00173D13"/>
    <w:rsid w:val="001C03F6"/>
    <w:rsid w:val="001C0F4D"/>
    <w:rsid w:val="001F5AE1"/>
    <w:rsid w:val="00216178"/>
    <w:rsid w:val="002417FF"/>
    <w:rsid w:val="0024201A"/>
    <w:rsid w:val="00284183"/>
    <w:rsid w:val="002C5D51"/>
    <w:rsid w:val="00392449"/>
    <w:rsid w:val="003C3378"/>
    <w:rsid w:val="003E5776"/>
    <w:rsid w:val="003F0DE2"/>
    <w:rsid w:val="003F4E58"/>
    <w:rsid w:val="00414C0E"/>
    <w:rsid w:val="004F4C19"/>
    <w:rsid w:val="0050273E"/>
    <w:rsid w:val="00502FC2"/>
    <w:rsid w:val="00520C12"/>
    <w:rsid w:val="005553AF"/>
    <w:rsid w:val="00555567"/>
    <w:rsid w:val="00623195"/>
    <w:rsid w:val="006445F9"/>
    <w:rsid w:val="00691222"/>
    <w:rsid w:val="006B3B8F"/>
    <w:rsid w:val="006C2D6D"/>
    <w:rsid w:val="006D102F"/>
    <w:rsid w:val="006E7577"/>
    <w:rsid w:val="00722FA9"/>
    <w:rsid w:val="00733FE4"/>
    <w:rsid w:val="00780A1D"/>
    <w:rsid w:val="007856FA"/>
    <w:rsid w:val="008225CC"/>
    <w:rsid w:val="00857A4C"/>
    <w:rsid w:val="00873A09"/>
    <w:rsid w:val="00884168"/>
    <w:rsid w:val="0089633C"/>
    <w:rsid w:val="008B37BE"/>
    <w:rsid w:val="008D3421"/>
    <w:rsid w:val="00913CBE"/>
    <w:rsid w:val="00995DCD"/>
    <w:rsid w:val="009A02EE"/>
    <w:rsid w:val="009B40AF"/>
    <w:rsid w:val="009E3CE3"/>
    <w:rsid w:val="009F0DD0"/>
    <w:rsid w:val="00A12D46"/>
    <w:rsid w:val="00A15DA3"/>
    <w:rsid w:val="00A35776"/>
    <w:rsid w:val="00A84035"/>
    <w:rsid w:val="00A9755A"/>
    <w:rsid w:val="00AB5BE8"/>
    <w:rsid w:val="00AB63E2"/>
    <w:rsid w:val="00AC0E62"/>
    <w:rsid w:val="00AC406F"/>
    <w:rsid w:val="00AC44A6"/>
    <w:rsid w:val="00AD379B"/>
    <w:rsid w:val="00AE2DAF"/>
    <w:rsid w:val="00B84047"/>
    <w:rsid w:val="00BC5A34"/>
    <w:rsid w:val="00BD7AD5"/>
    <w:rsid w:val="00C109C0"/>
    <w:rsid w:val="00C1704C"/>
    <w:rsid w:val="00C50A39"/>
    <w:rsid w:val="00CB0950"/>
    <w:rsid w:val="00D27304"/>
    <w:rsid w:val="00D55993"/>
    <w:rsid w:val="00DA0229"/>
    <w:rsid w:val="00DA4795"/>
    <w:rsid w:val="00E14889"/>
    <w:rsid w:val="00E161DE"/>
    <w:rsid w:val="00E22EDF"/>
    <w:rsid w:val="00E271A7"/>
    <w:rsid w:val="00E90884"/>
    <w:rsid w:val="00ED5F51"/>
    <w:rsid w:val="00F52F87"/>
    <w:rsid w:val="00F7083D"/>
    <w:rsid w:val="00FA12A4"/>
    <w:rsid w:val="00FD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7150"/>
  <w15:docId w15:val="{435090CE-0F7C-4160-9401-B600BD10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7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B422C1"/>
    <w:rPr>
      <w:sz w:val="20"/>
      <w:szCs w:val="20"/>
      <w:lang w:val="en-CA"/>
    </w:rPr>
  </w:style>
  <w:style w:type="character" w:customStyle="1" w:styleId="FootnoteTextChar">
    <w:name w:val="Footnote Text Char"/>
    <w:basedOn w:val="DefaultParagraphFont"/>
    <w:link w:val="FootnoteText"/>
    <w:uiPriority w:val="99"/>
    <w:semiHidden/>
    <w:rsid w:val="00B422C1"/>
    <w:rPr>
      <w:sz w:val="20"/>
      <w:szCs w:val="20"/>
    </w:rPr>
  </w:style>
  <w:style w:type="character" w:styleId="FootnoteReference">
    <w:name w:val="footnote reference"/>
    <w:basedOn w:val="DefaultParagraphFont"/>
    <w:uiPriority w:val="99"/>
    <w:semiHidden/>
    <w:unhideWhenUsed/>
    <w:rsid w:val="00B422C1"/>
    <w:rPr>
      <w:vertAlign w:val="superscript"/>
    </w:rPr>
  </w:style>
  <w:style w:type="character" w:styleId="Hyperlink">
    <w:name w:val="Hyperlink"/>
    <w:basedOn w:val="DefaultParagraphFont"/>
    <w:uiPriority w:val="99"/>
    <w:unhideWhenUsed/>
    <w:rsid w:val="008111D6"/>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25CC"/>
    <w:pPr>
      <w:tabs>
        <w:tab w:val="center" w:pos="4680"/>
        <w:tab w:val="right" w:pos="9360"/>
      </w:tabs>
    </w:pPr>
  </w:style>
  <w:style w:type="character" w:customStyle="1" w:styleId="HeaderChar">
    <w:name w:val="Header Char"/>
    <w:basedOn w:val="DefaultParagraphFont"/>
    <w:link w:val="Header"/>
    <w:uiPriority w:val="99"/>
    <w:rsid w:val="008225CC"/>
  </w:style>
  <w:style w:type="paragraph" w:styleId="Footer">
    <w:name w:val="footer"/>
    <w:basedOn w:val="Normal"/>
    <w:link w:val="FooterChar"/>
    <w:uiPriority w:val="99"/>
    <w:unhideWhenUsed/>
    <w:rsid w:val="008225CC"/>
    <w:pPr>
      <w:tabs>
        <w:tab w:val="center" w:pos="4680"/>
        <w:tab w:val="right" w:pos="9360"/>
      </w:tabs>
    </w:pPr>
  </w:style>
  <w:style w:type="character" w:customStyle="1" w:styleId="FooterChar">
    <w:name w:val="Footer Char"/>
    <w:basedOn w:val="DefaultParagraphFont"/>
    <w:link w:val="Footer"/>
    <w:uiPriority w:val="99"/>
    <w:rsid w:val="008225CC"/>
  </w:style>
  <w:style w:type="character" w:styleId="UnresolvedMention">
    <w:name w:val="Unresolved Mention"/>
    <w:basedOn w:val="DefaultParagraphFont"/>
    <w:uiPriority w:val="99"/>
    <w:semiHidden/>
    <w:unhideWhenUsed/>
    <w:rsid w:val="0009578B"/>
    <w:rPr>
      <w:color w:val="605E5C"/>
      <w:shd w:val="clear" w:color="auto" w:fill="E1DFDD"/>
    </w:rPr>
  </w:style>
  <w:style w:type="character" w:styleId="FollowedHyperlink">
    <w:name w:val="FollowedHyperlink"/>
    <w:basedOn w:val="DefaultParagraphFont"/>
    <w:uiPriority w:val="99"/>
    <w:semiHidden/>
    <w:unhideWhenUsed/>
    <w:rsid w:val="00BC5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269e9c32-6532-44d4-8b4a-48dd191edf71" xsi:nil="true"/>
    <TaxCatchAll xmlns="3f1a077b-59e1-4826-8004-7c30f803ecc3" xsi:nil="true"/>
    <Contents xmlns="269e9c32-6532-44d4-8b4a-48dd191edf71" xsi:nil="true"/>
    <Author_x0028_s_x0029_ xmlns="269e9c32-6532-44d4-8b4a-48dd191edf71" xsi:nil="true"/>
    <lcf76f155ced4ddcb4097134ff3c332f xmlns="269e9c32-6532-44d4-8b4a-48dd191edf71">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186H6weyjaqRma0cksLDEQDX38w==">AMUW2mUwL2r/PVwuJz0Wt5uTX4d+6cWeKScdRhej4eBWm01hv+ni0WU9yySGcJY/WkaG1tSd4xd3dDoXhmSuLxLK2XTtpk3q+j1So5ABG/3kZI2frOz2j2TOvE8Qf2dDw8M1gFXBugPR</go:docsCustomData>
</go:gDocsCustomXmlDataStorage>
</file>

<file path=customXml/itemProps1.xml><?xml version="1.0" encoding="utf-8"?>
<ds:datastoreItem xmlns:ds="http://schemas.openxmlformats.org/officeDocument/2006/customXml" ds:itemID="{BDAE8561-CEE3-4703-A018-56CD0B5BB387}">
  <ds:schemaRefs>
    <ds:schemaRef ds:uri="http://schemas.microsoft.com/sharepoint/v3/contenttype/forms"/>
  </ds:schemaRefs>
</ds:datastoreItem>
</file>

<file path=customXml/itemProps2.xml><?xml version="1.0" encoding="utf-8"?>
<ds:datastoreItem xmlns:ds="http://schemas.openxmlformats.org/officeDocument/2006/customXml" ds:itemID="{FC32258F-0811-4CDE-BBC8-9BEF5ED9BC50}"/>
</file>

<file path=customXml/itemProps3.xml><?xml version="1.0" encoding="utf-8"?>
<ds:datastoreItem xmlns:ds="http://schemas.openxmlformats.org/officeDocument/2006/customXml" ds:itemID="{487DD099-4573-448B-8B6C-90172197405B}">
  <ds:schemaRefs>
    <ds:schemaRef ds:uri="http://schemas.microsoft.com/office/2006/metadata/properties"/>
    <ds:schemaRef ds:uri="http://schemas.microsoft.com/office/infopath/2007/PartnerControls"/>
    <ds:schemaRef ds:uri="359506ef-de0f-45a3-b190-713ab34443b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Tracy</dc:creator>
  <cp:lastModifiedBy>Natalie Boldt</cp:lastModifiedBy>
  <cp:revision>2</cp:revision>
  <dcterms:created xsi:type="dcterms:W3CDTF">2025-02-23T22:57:00Z</dcterms:created>
  <dcterms:modified xsi:type="dcterms:W3CDTF">2025-02-23T22:57:00Z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0x010100997C213B256B6D4796EA0E56D4369CDA</vt:lpwstr>
  </property>
</Properties>
</file>